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426DC" w14:textId="77777777" w:rsidR="00557A1D" w:rsidRPr="00557A1D" w:rsidRDefault="00557A1D" w:rsidP="00557A1D">
      <w:pPr>
        <w:shd w:val="clear" w:color="auto" w:fill="FFFFFF"/>
        <w:spacing w:after="0" w:line="600" w:lineRule="atLeast"/>
        <w:outlineLvl w:val="1"/>
        <w:rPr>
          <w:rFonts w:ascii="Roboto" w:eastAsia="Times New Roman" w:hAnsi="Roboto" w:cs="Times New Roman"/>
          <w:color w:val="154071"/>
          <w:sz w:val="48"/>
          <w:szCs w:val="48"/>
          <w:lang w:eastAsia="nl-NL"/>
        </w:rPr>
      </w:pPr>
      <w:r w:rsidRPr="00557A1D">
        <w:rPr>
          <w:rFonts w:ascii="Roboto" w:eastAsia="Times New Roman" w:hAnsi="Roboto" w:cs="Times New Roman"/>
          <w:color w:val="154071"/>
          <w:sz w:val="48"/>
          <w:szCs w:val="48"/>
          <w:lang w:eastAsia="nl-NL"/>
        </w:rPr>
        <w:t>Algemene voorwaarden</w:t>
      </w:r>
    </w:p>
    <w:p w14:paraId="57F3AF58" w14:textId="77777777" w:rsidR="00557A1D" w:rsidRPr="00557A1D" w:rsidRDefault="00557A1D" w:rsidP="00557A1D">
      <w:pPr>
        <w:shd w:val="clear" w:color="auto" w:fill="FFFFFF"/>
        <w:spacing w:after="0" w:line="600" w:lineRule="atLeast"/>
        <w:outlineLvl w:val="1"/>
        <w:rPr>
          <w:rFonts w:ascii="Roboto" w:eastAsia="Times New Roman" w:hAnsi="Roboto" w:cs="Times New Roman"/>
          <w:color w:val="154071"/>
          <w:sz w:val="48"/>
          <w:szCs w:val="48"/>
          <w:lang w:eastAsia="nl-NL"/>
        </w:rPr>
      </w:pPr>
      <w:r w:rsidRPr="00557A1D">
        <w:rPr>
          <w:rFonts w:ascii="Roboto" w:eastAsia="Times New Roman" w:hAnsi="Roboto" w:cs="Times New Roman"/>
          <w:color w:val="154071"/>
          <w:sz w:val="48"/>
          <w:szCs w:val="48"/>
          <w:lang w:eastAsia="nl-NL"/>
        </w:rPr>
        <w:t>Artikel 1 Toepasselijkheid</w:t>
      </w:r>
    </w:p>
    <w:p w14:paraId="3A9AB2B0" w14:textId="77777777" w:rsidR="00557A1D" w:rsidRPr="00557A1D" w:rsidRDefault="00557A1D" w:rsidP="00557A1D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</w:pP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t>a. Deze algemene voorwaarden zijn van toepassing op alle huidige en toekomstige werkzaamheden die De Keyzer Assurantiën BV (</w:t>
      </w:r>
      <w:proofErr w:type="spellStart"/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t>h.o.d.n</w:t>
      </w:r>
      <w:proofErr w:type="spellEnd"/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t xml:space="preserve">. De Keyzer Zekerheid; verder te noemen De Keyzer), verricht, onder andere, maar uitdrukkelijk niet beperkt tot, het gebied van assurantiebemiddelingsbedrijf, pensioen, en advisering, een en ander in de breedste zin des </w:t>
      </w:r>
      <w:proofErr w:type="spellStart"/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t>woords</w:t>
      </w:r>
      <w:proofErr w:type="spellEnd"/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t>.</w:t>
      </w: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br/>
        <w:t>b. Onder “De Keyzer” wordt tevens begrepen alle aan De Keyzer gelieerde ondernemingen en diens franchisenemers; aldus de partij die de onderhavige algemene voorwaarden van toepassing heeft verklaard.</w:t>
      </w:r>
    </w:p>
    <w:p w14:paraId="5BC5DD1B" w14:textId="77777777" w:rsidR="00557A1D" w:rsidRPr="00557A1D" w:rsidRDefault="00557A1D" w:rsidP="00557A1D">
      <w:pPr>
        <w:shd w:val="clear" w:color="auto" w:fill="FFFFFF"/>
        <w:spacing w:after="0" w:line="600" w:lineRule="atLeast"/>
        <w:outlineLvl w:val="1"/>
        <w:rPr>
          <w:rFonts w:ascii="Roboto" w:eastAsia="Times New Roman" w:hAnsi="Roboto" w:cs="Times New Roman"/>
          <w:color w:val="154071"/>
          <w:sz w:val="48"/>
          <w:szCs w:val="48"/>
          <w:lang w:eastAsia="nl-NL"/>
        </w:rPr>
      </w:pPr>
      <w:r w:rsidRPr="00557A1D">
        <w:rPr>
          <w:rFonts w:ascii="Roboto" w:eastAsia="Times New Roman" w:hAnsi="Roboto" w:cs="Times New Roman"/>
          <w:color w:val="154071"/>
          <w:sz w:val="48"/>
          <w:szCs w:val="48"/>
          <w:lang w:eastAsia="nl-NL"/>
        </w:rPr>
        <w:t>Artikel 2 Tussenpersoon</w:t>
      </w:r>
    </w:p>
    <w:p w14:paraId="50C04679" w14:textId="77777777" w:rsidR="00557A1D" w:rsidRPr="00557A1D" w:rsidRDefault="00557A1D" w:rsidP="00557A1D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</w:pP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t>Ook indien De Keyzer als tussenpersoon optreedt, handelt zij uit eigen naam, tenzij door De Keyzer vooraf expliciet anders is aangegeven.</w:t>
      </w:r>
    </w:p>
    <w:p w14:paraId="7B5C7ED9" w14:textId="77777777" w:rsidR="00557A1D" w:rsidRPr="00557A1D" w:rsidRDefault="00557A1D" w:rsidP="00557A1D">
      <w:pPr>
        <w:shd w:val="clear" w:color="auto" w:fill="FFFFFF"/>
        <w:spacing w:after="0" w:line="600" w:lineRule="atLeast"/>
        <w:outlineLvl w:val="1"/>
        <w:rPr>
          <w:rFonts w:ascii="Roboto" w:eastAsia="Times New Roman" w:hAnsi="Roboto" w:cs="Times New Roman"/>
          <w:color w:val="154071"/>
          <w:sz w:val="48"/>
          <w:szCs w:val="48"/>
          <w:lang w:eastAsia="nl-NL"/>
        </w:rPr>
      </w:pPr>
      <w:r w:rsidRPr="00557A1D">
        <w:rPr>
          <w:rFonts w:ascii="Roboto" w:eastAsia="Times New Roman" w:hAnsi="Roboto" w:cs="Times New Roman"/>
          <w:color w:val="154071"/>
          <w:sz w:val="48"/>
          <w:szCs w:val="48"/>
          <w:lang w:eastAsia="nl-NL"/>
        </w:rPr>
        <w:t>Artikel 3 Derden</w:t>
      </w:r>
    </w:p>
    <w:p w14:paraId="267B4471" w14:textId="77777777" w:rsidR="00557A1D" w:rsidRPr="00557A1D" w:rsidRDefault="00557A1D" w:rsidP="00557A1D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</w:pP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t>a. De Keyzer is gerechtigd voor de uitvoering van haar werkzaamheden gebruik te maken van de diensten van derden.</w:t>
      </w: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br/>
        <w:t>b. De Keyzer is nimmer aansprakelijk voor de door derden verrichte werkzaamheden.</w:t>
      </w:r>
    </w:p>
    <w:p w14:paraId="61FD7565" w14:textId="77777777" w:rsidR="00557A1D" w:rsidRPr="00557A1D" w:rsidRDefault="00557A1D" w:rsidP="00557A1D">
      <w:pPr>
        <w:shd w:val="clear" w:color="auto" w:fill="FFFFFF"/>
        <w:spacing w:after="0" w:line="600" w:lineRule="atLeast"/>
        <w:outlineLvl w:val="1"/>
        <w:rPr>
          <w:rFonts w:ascii="Roboto" w:eastAsia="Times New Roman" w:hAnsi="Roboto" w:cs="Times New Roman"/>
          <w:color w:val="154071"/>
          <w:sz w:val="48"/>
          <w:szCs w:val="48"/>
          <w:lang w:eastAsia="nl-NL"/>
        </w:rPr>
      </w:pPr>
      <w:r w:rsidRPr="00557A1D">
        <w:rPr>
          <w:rFonts w:ascii="Roboto" w:eastAsia="Times New Roman" w:hAnsi="Roboto" w:cs="Times New Roman"/>
          <w:color w:val="154071"/>
          <w:sz w:val="48"/>
          <w:szCs w:val="48"/>
          <w:lang w:eastAsia="nl-NL"/>
        </w:rPr>
        <w:t>Artikel 4 Informatieverstrekking</w:t>
      </w:r>
    </w:p>
    <w:p w14:paraId="538D956F" w14:textId="77777777" w:rsidR="00557A1D" w:rsidRPr="00557A1D" w:rsidRDefault="00557A1D" w:rsidP="00557A1D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</w:pP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t>a. Opdrachtgever van De Keyzer heeft in te staan voor de juistheid en de volledigheid van de te verstrekken gegevens, op basis waarvan De Keyzer haar werkzaamheden zal verrichten.</w:t>
      </w: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br/>
        <w:t xml:space="preserve">b. Ingeval er sprake is van onjuiste of onvolledige informatieverstrekking door opdrachtgever is/zijn De Keyzer en/of haar werknemers en/of de door De Keyzer ingeschakelde hulppersonen en/of enige verzekeraar nimmer aansprakelijk voor verlies van beweerdelijk aanspraken </w:t>
      </w:r>
      <w:proofErr w:type="spellStart"/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t>cq.</w:t>
      </w:r>
      <w:proofErr w:type="spellEnd"/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t xml:space="preserve"> andere beweerdelijk schade, in de breedste zin des </w:t>
      </w:r>
      <w:proofErr w:type="spellStart"/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t>woords</w:t>
      </w:r>
      <w:proofErr w:type="spellEnd"/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t>.</w:t>
      </w:r>
    </w:p>
    <w:p w14:paraId="79AA92D2" w14:textId="77777777" w:rsidR="00557A1D" w:rsidRPr="00557A1D" w:rsidRDefault="00557A1D" w:rsidP="00557A1D">
      <w:pPr>
        <w:shd w:val="clear" w:color="auto" w:fill="FFFFFF"/>
        <w:spacing w:after="0" w:line="600" w:lineRule="atLeast"/>
        <w:outlineLvl w:val="1"/>
        <w:rPr>
          <w:rFonts w:ascii="Roboto" w:eastAsia="Times New Roman" w:hAnsi="Roboto" w:cs="Times New Roman"/>
          <w:color w:val="154071"/>
          <w:sz w:val="48"/>
          <w:szCs w:val="48"/>
          <w:lang w:eastAsia="nl-NL"/>
        </w:rPr>
      </w:pPr>
      <w:r w:rsidRPr="00557A1D">
        <w:rPr>
          <w:rFonts w:ascii="Roboto" w:eastAsia="Times New Roman" w:hAnsi="Roboto" w:cs="Times New Roman"/>
          <w:color w:val="154071"/>
          <w:sz w:val="48"/>
          <w:szCs w:val="48"/>
          <w:lang w:eastAsia="nl-NL"/>
        </w:rPr>
        <w:t>Artikel 5 Aansprakelijkheid</w:t>
      </w:r>
    </w:p>
    <w:p w14:paraId="1FCF77C7" w14:textId="77777777" w:rsidR="00557A1D" w:rsidRPr="00557A1D" w:rsidRDefault="00557A1D" w:rsidP="00557A1D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</w:pP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t>a. Behoudens opzet of grove schuld zijdens De Keyzer is De Keyzer maximaal aansprakelijk tot het bedrag dat door haar beroepsaansprakelijkheidsverzekeraar wordt uitgekeerd, vermeerderd met het geldende eigen risico.</w:t>
      </w: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br/>
        <w:t>b. De aansprakelijkheid van De Keyzer is in ieder geval beperkt tot 5 maal de jaarpremie van de desbetreffende verzekering, met een maximum van € 50.000,- per gebeurtenis.</w:t>
      </w: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br/>
        <w:t xml:space="preserve">c. De Keyzer is nimmer aansprakelijk voor gevolgschade, waaronder (doch niet </w:t>
      </w: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lastRenderedPageBreak/>
        <w:t>beperkt tot) vervangingskosten, omzetverlies, bedrijfsschade etc.</w:t>
      </w: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br/>
        <w:t>d. De Keyzer is nimmer aansprakelijk voor hulppersonen en verzekeraars.</w:t>
      </w: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br/>
        <w:t>e. Ingeval van een vermoeden van schade ten gevolge van handelen en/of nalaten van De Keyzer zal dit terstond schriftelijk aan De Keyzer worden vermeld, doch uiterlijk binnen 1 jaar nadat dit vermoeden is ontstaan en/of had kunnen ontstaan. Bij gebreke van een dergelijke schriftelijke melding binnen voornoemde termijn, zijn alle beweerdelijk aanspraken vervallen.</w:t>
      </w:r>
    </w:p>
    <w:p w14:paraId="7532DFF0" w14:textId="77777777" w:rsidR="00557A1D" w:rsidRPr="00557A1D" w:rsidRDefault="00557A1D" w:rsidP="00557A1D">
      <w:pPr>
        <w:shd w:val="clear" w:color="auto" w:fill="FFFFFF"/>
        <w:spacing w:after="0" w:line="600" w:lineRule="atLeast"/>
        <w:outlineLvl w:val="1"/>
        <w:rPr>
          <w:rFonts w:ascii="Roboto" w:eastAsia="Times New Roman" w:hAnsi="Roboto" w:cs="Times New Roman"/>
          <w:color w:val="154071"/>
          <w:sz w:val="48"/>
          <w:szCs w:val="48"/>
          <w:lang w:eastAsia="nl-NL"/>
        </w:rPr>
      </w:pPr>
      <w:r w:rsidRPr="00557A1D">
        <w:rPr>
          <w:rFonts w:ascii="Roboto" w:eastAsia="Times New Roman" w:hAnsi="Roboto" w:cs="Times New Roman"/>
          <w:color w:val="154071"/>
          <w:sz w:val="48"/>
          <w:szCs w:val="48"/>
          <w:lang w:eastAsia="nl-NL"/>
        </w:rPr>
        <w:t>Artikel 6 Betalingen</w:t>
      </w:r>
    </w:p>
    <w:p w14:paraId="3BC5E170" w14:textId="77777777" w:rsidR="00557A1D" w:rsidRPr="00557A1D" w:rsidRDefault="00557A1D" w:rsidP="00557A1D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</w:pP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t>a. Alle betalingen aan De Keyzer dienen te geschieden binnen tien dagen na factuurdatum.</w:t>
      </w: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br/>
        <w:t>b. Vanaf de elfde dag na de factuurdatum is de debiteur de wettelijke rente verschuldigd over het gefactureerde bedrag.</w:t>
      </w: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br/>
        <w:t>c. Bij te late betaling verkeert de debiteur automatisch in verzuim en is hij tevens de buitengerechtelijke incassokosten verschuldigd. De buitengerechtelijke incassokosten worden gefixeerd op 10% van de hoofdsom, met een minimum van € 200,00, onverminderd het recht van De Keyzer om vergoeding van de daadwerkelijk gemaakte kosten te verlangen.</w:t>
      </w:r>
    </w:p>
    <w:p w14:paraId="31666B37" w14:textId="77777777" w:rsidR="00557A1D" w:rsidRPr="00557A1D" w:rsidRDefault="00557A1D" w:rsidP="00557A1D">
      <w:pPr>
        <w:shd w:val="clear" w:color="auto" w:fill="FFFFFF"/>
        <w:spacing w:after="0" w:line="600" w:lineRule="atLeast"/>
        <w:outlineLvl w:val="1"/>
        <w:rPr>
          <w:rFonts w:ascii="Roboto" w:eastAsia="Times New Roman" w:hAnsi="Roboto" w:cs="Times New Roman"/>
          <w:color w:val="154071"/>
          <w:sz w:val="48"/>
          <w:szCs w:val="48"/>
          <w:lang w:eastAsia="nl-NL"/>
        </w:rPr>
      </w:pPr>
      <w:r w:rsidRPr="00557A1D">
        <w:rPr>
          <w:rFonts w:ascii="Roboto" w:eastAsia="Times New Roman" w:hAnsi="Roboto" w:cs="Times New Roman"/>
          <w:color w:val="154071"/>
          <w:sz w:val="48"/>
          <w:szCs w:val="48"/>
          <w:lang w:eastAsia="nl-NL"/>
        </w:rPr>
        <w:t>Artikel 7 Geschillenregeling</w:t>
      </w:r>
    </w:p>
    <w:p w14:paraId="412BFB8A" w14:textId="77777777" w:rsidR="00557A1D" w:rsidRPr="00557A1D" w:rsidRDefault="00557A1D" w:rsidP="00557A1D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</w:pP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t>a. Op de onderhavige overeenkomst en alle daaruit voortvloeiende geschillen is Nederlands recht van toepassing.</w:t>
      </w:r>
      <w:r w:rsidRPr="00557A1D">
        <w:rPr>
          <w:rFonts w:ascii="Roboto" w:eastAsia="Times New Roman" w:hAnsi="Roboto" w:cs="Times New Roman"/>
          <w:color w:val="444444"/>
          <w:sz w:val="26"/>
          <w:szCs w:val="26"/>
          <w:lang w:eastAsia="nl-NL"/>
        </w:rPr>
        <w:br/>
        <w:t>b. Alle geschillen tussen partijen zullen worden voorgelegd aan de bevoegde rechtbank te Breda.</w:t>
      </w:r>
    </w:p>
    <w:p w14:paraId="3E45BB0A" w14:textId="5E64580B" w:rsidR="00804F03" w:rsidRPr="00536C12" w:rsidRDefault="00804F03"/>
    <w:sectPr w:rsidR="00804F03" w:rsidRPr="0053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39"/>
    <w:rsid w:val="00077D84"/>
    <w:rsid w:val="004B61E7"/>
    <w:rsid w:val="00536C12"/>
    <w:rsid w:val="00557A1D"/>
    <w:rsid w:val="006D1FC2"/>
    <w:rsid w:val="00804F03"/>
    <w:rsid w:val="00A0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148B"/>
  <w15:chartTrackingRefBased/>
  <w15:docId w15:val="{D6252D6A-52B9-419E-8CF7-A1985163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18415F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3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3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36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03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036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03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03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03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03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3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A03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36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0363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0363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0363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0363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0363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036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0363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363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03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3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03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36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036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0363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03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0363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03639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55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92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Quintes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Rhodee Boltong | Quintes</dc:creator>
  <cp:keywords/>
  <dc:description/>
  <cp:lastModifiedBy>Rhodee Boltong | Quintes</cp:lastModifiedBy>
  <cp:revision>1</cp:revision>
  <dcterms:created xsi:type="dcterms:W3CDTF">2024-09-24T08:49:00Z</dcterms:created>
  <dcterms:modified xsi:type="dcterms:W3CDTF">2024-09-24T09:11:00Z</dcterms:modified>
</cp:coreProperties>
</file>